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3" w:rsidRDefault="00D80DD2">
      <w:r>
        <w:t>Zeittafel</w:t>
      </w:r>
      <w:r w:rsidR="00A9266C">
        <w:t xml:space="preserve"> Österreich und der Islam</w:t>
      </w:r>
    </w:p>
    <w:p w:rsidR="00C12E3F" w:rsidRDefault="00C12E3F">
      <w:pPr>
        <w:rPr>
          <w:rFonts w:cs="Arial"/>
          <w:color w:val="252525"/>
          <w:sz w:val="22"/>
          <w:shd w:val="clear" w:color="auto" w:fill="FFFFFF"/>
        </w:rPr>
      </w:pPr>
    </w:p>
    <w:p w:rsidR="008759C9" w:rsidRDefault="0023582F">
      <w:pPr>
        <w:rPr>
          <w:rFonts w:cs="Arial"/>
          <w:color w:val="252525"/>
          <w:sz w:val="22"/>
          <w:shd w:val="clear" w:color="auto" w:fill="FFFFFF"/>
        </w:rPr>
      </w:pPr>
      <w:r w:rsidRPr="0023582F">
        <w:rPr>
          <w:rFonts w:cs="Arial"/>
          <w:color w:val="252525"/>
          <w:sz w:val="22"/>
          <w:shd w:val="clear" w:color="auto" w:fill="FFFFFF"/>
        </w:rPr>
        <w:t xml:space="preserve">1147 Zweiter Kreuzzug – Heinrich </w:t>
      </w:r>
      <w:r w:rsidR="008759C9">
        <w:rPr>
          <w:rFonts w:cs="Arial"/>
          <w:color w:val="252525"/>
          <w:sz w:val="22"/>
          <w:shd w:val="clear" w:color="auto" w:fill="FFFFFF"/>
        </w:rPr>
        <w:t>II. Jasomirgott (</w:t>
      </w:r>
      <w:r w:rsidR="00651D30">
        <w:rPr>
          <w:rFonts w:cs="Arial"/>
          <w:color w:val="252525"/>
          <w:sz w:val="22"/>
          <w:shd w:val="clear" w:color="auto" w:fill="FFFFFF"/>
        </w:rPr>
        <w:t xml:space="preserve">Prinzessin </w:t>
      </w:r>
      <w:r w:rsidRPr="0023582F">
        <w:rPr>
          <w:rFonts w:cs="Arial"/>
          <w:color w:val="252525"/>
          <w:sz w:val="22"/>
          <w:shd w:val="clear" w:color="auto" w:fill="FFFFFF"/>
        </w:rPr>
        <w:t>Theodora Komnene</w:t>
      </w:r>
      <w:r w:rsidR="008759C9">
        <w:rPr>
          <w:rFonts w:cs="Arial"/>
          <w:color w:val="252525"/>
          <w:sz w:val="22"/>
          <w:shd w:val="clear" w:color="auto" w:fill="FFFFFF"/>
        </w:rPr>
        <w:t>)</w:t>
      </w:r>
    </w:p>
    <w:p w:rsidR="0023582F" w:rsidRPr="0023582F" w:rsidRDefault="0023582F">
      <w:pPr>
        <w:rPr>
          <w:sz w:val="22"/>
        </w:rPr>
      </w:pPr>
      <w:r>
        <w:rPr>
          <w:rFonts w:cs="Arial"/>
          <w:color w:val="252525"/>
          <w:sz w:val="22"/>
          <w:shd w:val="clear" w:color="auto" w:fill="FFFFFF"/>
        </w:rPr>
        <w:t>12</w:t>
      </w:r>
      <w:r w:rsidR="0056720E">
        <w:rPr>
          <w:rFonts w:cs="Arial"/>
          <w:color w:val="252525"/>
          <w:sz w:val="22"/>
          <w:shd w:val="clear" w:color="auto" w:fill="FFFFFF"/>
        </w:rPr>
        <w:t>12/</w:t>
      </w:r>
      <w:r>
        <w:rPr>
          <w:rFonts w:cs="Arial"/>
          <w:color w:val="252525"/>
          <w:sz w:val="22"/>
          <w:shd w:val="clear" w:color="auto" w:fill="FFFFFF"/>
        </w:rPr>
        <w:t xml:space="preserve">17 </w:t>
      </w:r>
      <w:r w:rsidR="0056720E">
        <w:rPr>
          <w:rFonts w:cs="Arial"/>
          <w:color w:val="252525"/>
          <w:sz w:val="22"/>
          <w:shd w:val="clear" w:color="auto" w:fill="FFFFFF"/>
        </w:rPr>
        <w:t>Dritter und Fünfter Kreuz</w:t>
      </w:r>
      <w:r w:rsidR="00651D30">
        <w:rPr>
          <w:rFonts w:cs="Arial"/>
          <w:color w:val="252525"/>
          <w:sz w:val="22"/>
          <w:shd w:val="clear" w:color="auto" w:fill="FFFFFF"/>
        </w:rPr>
        <w:t>z</w:t>
      </w:r>
      <w:r w:rsidR="0056720E">
        <w:rPr>
          <w:rFonts w:cs="Arial"/>
          <w:color w:val="252525"/>
          <w:sz w:val="22"/>
          <w:shd w:val="clear" w:color="auto" w:fill="FFFFFF"/>
        </w:rPr>
        <w:t>ug – Herzog Leo</w:t>
      </w:r>
      <w:r w:rsidR="00651D30">
        <w:rPr>
          <w:rFonts w:cs="Arial"/>
          <w:color w:val="252525"/>
          <w:sz w:val="22"/>
          <w:shd w:val="clear" w:color="auto" w:fill="FFFFFF"/>
        </w:rPr>
        <w:t xml:space="preserve">pold VI. (Prinzessin </w:t>
      </w:r>
      <w:r w:rsidR="0056720E" w:rsidRPr="0056720E">
        <w:rPr>
          <w:rFonts w:cs="Arial"/>
          <w:sz w:val="21"/>
          <w:szCs w:val="21"/>
          <w:shd w:val="clear" w:color="auto" w:fill="FFFFFF"/>
        </w:rPr>
        <w:t>Theodora Angelo</w:t>
      </w:r>
      <w:r w:rsidR="00651D30">
        <w:rPr>
          <w:rFonts w:cs="Arial"/>
          <w:color w:val="252525"/>
          <w:sz w:val="22"/>
          <w:shd w:val="clear" w:color="auto" w:fill="FFFFFF"/>
        </w:rPr>
        <w:t>i)</w:t>
      </w:r>
    </w:p>
    <w:p w:rsidR="00D80DD2" w:rsidRDefault="00D80DD2">
      <w:pPr>
        <w:rPr>
          <w:sz w:val="22"/>
        </w:rPr>
      </w:pPr>
      <w:r w:rsidRPr="00D80DD2">
        <w:rPr>
          <w:sz w:val="22"/>
        </w:rPr>
        <w:t xml:space="preserve">1526 Schlacht von Mohacs – </w:t>
      </w:r>
      <w:r w:rsidRPr="00D80DD2">
        <w:rPr>
          <w:rFonts w:cs="Arial"/>
          <w:sz w:val="22"/>
        </w:rPr>
        <w:t xml:space="preserve">† </w:t>
      </w:r>
      <w:r w:rsidRPr="00D80DD2">
        <w:rPr>
          <w:sz w:val="22"/>
        </w:rPr>
        <w:t>Ludwig</w:t>
      </w:r>
      <w:r>
        <w:rPr>
          <w:sz w:val="22"/>
        </w:rPr>
        <w:t>s</w:t>
      </w:r>
      <w:r w:rsidRPr="00D80DD2">
        <w:rPr>
          <w:sz w:val="22"/>
        </w:rPr>
        <w:t xml:space="preserve"> von Ungarn, Stefans/Wenzelskrone an </w:t>
      </w:r>
      <w:r>
        <w:rPr>
          <w:sz w:val="22"/>
        </w:rPr>
        <w:t>Habsburg</w:t>
      </w:r>
    </w:p>
    <w:p w:rsidR="00A9266C" w:rsidRDefault="00A9266C">
      <w:pPr>
        <w:rPr>
          <w:sz w:val="22"/>
        </w:rPr>
      </w:pPr>
      <w:r>
        <w:rPr>
          <w:sz w:val="22"/>
        </w:rPr>
        <w:t>1529 Erste Türkenbelagerung</w:t>
      </w:r>
    </w:p>
    <w:p w:rsidR="00A9266C" w:rsidRDefault="00A9266C">
      <w:pPr>
        <w:rPr>
          <w:sz w:val="22"/>
        </w:rPr>
      </w:pPr>
      <w:r>
        <w:rPr>
          <w:sz w:val="22"/>
        </w:rPr>
        <w:t>1683 Zweite Türkenbelagerung</w:t>
      </w:r>
    </w:p>
    <w:p w:rsidR="00D80DD2" w:rsidRDefault="00D80DD2">
      <w:pPr>
        <w:rPr>
          <w:sz w:val="22"/>
        </w:rPr>
      </w:pPr>
      <w:r>
        <w:rPr>
          <w:sz w:val="22"/>
        </w:rPr>
        <w:t xml:space="preserve">1737 </w:t>
      </w:r>
      <w:r w:rsidR="00A9266C">
        <w:rPr>
          <w:sz w:val="22"/>
        </w:rPr>
        <w:t>Karl VI</w:t>
      </w:r>
      <w:r w:rsidR="009979DF">
        <w:rPr>
          <w:sz w:val="22"/>
        </w:rPr>
        <w:t>.</w:t>
      </w:r>
      <w:r w:rsidR="00A9266C">
        <w:rPr>
          <w:sz w:val="22"/>
        </w:rPr>
        <w:t xml:space="preserve"> verliert gegen die Osma</w:t>
      </w:r>
      <w:r>
        <w:rPr>
          <w:sz w:val="22"/>
        </w:rPr>
        <w:t>nen</w:t>
      </w:r>
      <w:r w:rsidR="00A9266C">
        <w:rPr>
          <w:sz w:val="22"/>
        </w:rPr>
        <w:t xml:space="preserve">, </w:t>
      </w:r>
      <w:r w:rsidR="00651D30">
        <w:rPr>
          <w:sz w:val="22"/>
        </w:rPr>
        <w:t xml:space="preserve">richtet </w:t>
      </w:r>
      <w:r w:rsidR="00A9266C">
        <w:rPr>
          <w:sz w:val="22"/>
        </w:rPr>
        <w:t xml:space="preserve">Blick auf Bosnien (Schutz bei Übertritt) </w:t>
      </w:r>
    </w:p>
    <w:p w:rsidR="00C12E3F" w:rsidRDefault="00C12E3F">
      <w:pPr>
        <w:rPr>
          <w:sz w:val="22"/>
        </w:rPr>
      </w:pPr>
      <w:r>
        <w:rPr>
          <w:sz w:val="22"/>
        </w:rPr>
        <w:t>1781 Toleranzpatent Josephs II.</w:t>
      </w:r>
    </w:p>
    <w:p w:rsidR="00920FA5" w:rsidRDefault="00C12E3F">
      <w:pPr>
        <w:rPr>
          <w:sz w:val="22"/>
        </w:rPr>
      </w:pPr>
      <w:r>
        <w:rPr>
          <w:sz w:val="22"/>
        </w:rPr>
        <w:t>1826 Hofdekret: Muslime haben vor Gericht auf den Koran zu schwören</w:t>
      </w:r>
    </w:p>
    <w:p w:rsidR="00C12E3F" w:rsidRDefault="00920FA5">
      <w:pPr>
        <w:rPr>
          <w:sz w:val="22"/>
        </w:rPr>
      </w:pPr>
      <w:r>
        <w:rPr>
          <w:sz w:val="22"/>
        </w:rPr>
        <w:t xml:space="preserve">1861 </w:t>
      </w:r>
      <w:r w:rsidRPr="00920FA5">
        <w:rPr>
          <w:b/>
          <w:sz w:val="22"/>
        </w:rPr>
        <w:t xml:space="preserve">Protestantenpatent </w:t>
      </w:r>
      <w:r>
        <w:rPr>
          <w:sz w:val="22"/>
        </w:rPr>
        <w:t>(Neufassung: Protestantengesetz 8.4.1961)</w:t>
      </w:r>
    </w:p>
    <w:p w:rsidR="008C071D" w:rsidRDefault="008C071D">
      <w:pPr>
        <w:rPr>
          <w:sz w:val="22"/>
        </w:rPr>
      </w:pPr>
      <w:r>
        <w:rPr>
          <w:sz w:val="22"/>
        </w:rPr>
        <w:t>1867 Staat</w:t>
      </w:r>
      <w:r w:rsidR="00B852F6">
        <w:rPr>
          <w:sz w:val="22"/>
        </w:rPr>
        <w:t xml:space="preserve">sgrundgesetz: Religionsfreiheit: öffentliche Ausübung, Selbstverwaltung </w:t>
      </w:r>
    </w:p>
    <w:p w:rsidR="00531452" w:rsidRDefault="00531452" w:rsidP="00531452">
      <w:pPr>
        <w:rPr>
          <w:sz w:val="22"/>
        </w:rPr>
      </w:pPr>
      <w:r>
        <w:rPr>
          <w:sz w:val="22"/>
        </w:rPr>
        <w:t xml:space="preserve">1874 Anerkennungsgesetz </w:t>
      </w:r>
      <w:r w:rsidR="00651D30">
        <w:rPr>
          <w:sz w:val="22"/>
        </w:rPr>
        <w:t>(Neuf</w:t>
      </w:r>
      <w:r w:rsidR="003358C1">
        <w:rPr>
          <w:sz w:val="22"/>
        </w:rPr>
        <w:t>assung 11.11.2014)</w:t>
      </w:r>
    </w:p>
    <w:p w:rsidR="00A9266C" w:rsidRDefault="00A9266C">
      <w:pPr>
        <w:rPr>
          <w:sz w:val="22"/>
        </w:rPr>
      </w:pPr>
      <w:r>
        <w:rPr>
          <w:sz w:val="22"/>
        </w:rPr>
        <w:t>1875 Osmanischer Staatsbankrott, Aufstände in Bosnien</w:t>
      </w:r>
    </w:p>
    <w:p w:rsidR="00A9266C" w:rsidRDefault="00A9266C">
      <w:pPr>
        <w:rPr>
          <w:sz w:val="22"/>
        </w:rPr>
      </w:pPr>
      <w:r>
        <w:rPr>
          <w:sz w:val="22"/>
        </w:rPr>
        <w:t xml:space="preserve">1876 </w:t>
      </w:r>
      <w:r w:rsidR="008C071D">
        <w:rPr>
          <w:sz w:val="22"/>
        </w:rPr>
        <w:t>Teilung der Interessensphären am Balkan zwischen Russland und Österreich-Ungarn</w:t>
      </w:r>
    </w:p>
    <w:p w:rsidR="00A9266C" w:rsidRDefault="008C071D">
      <w:pPr>
        <w:rPr>
          <w:sz w:val="22"/>
        </w:rPr>
      </w:pPr>
      <w:r>
        <w:rPr>
          <w:sz w:val="22"/>
        </w:rPr>
        <w:t>1878 Berliner Vertrag ermächtigt Österreich zur Verwaltung von Bosnien und Herzegowina</w:t>
      </w:r>
    </w:p>
    <w:p w:rsidR="009D02C6" w:rsidRDefault="009D02C6">
      <w:pPr>
        <w:rPr>
          <w:sz w:val="22"/>
        </w:rPr>
      </w:pPr>
      <w:r>
        <w:rPr>
          <w:sz w:val="22"/>
        </w:rPr>
        <w:t>1882 Erste Einberufungen bosnischer Rekruten</w:t>
      </w:r>
    </w:p>
    <w:p w:rsidR="003358C1" w:rsidRDefault="003358C1">
      <w:pPr>
        <w:rPr>
          <w:sz w:val="22"/>
        </w:rPr>
      </w:pPr>
      <w:r>
        <w:rPr>
          <w:sz w:val="22"/>
        </w:rPr>
        <w:t xml:space="preserve">1890 </w:t>
      </w:r>
      <w:r w:rsidRPr="00920FA5">
        <w:rPr>
          <w:b/>
          <w:sz w:val="22"/>
        </w:rPr>
        <w:t>Israelitengesetz</w:t>
      </w:r>
      <w:r>
        <w:rPr>
          <w:sz w:val="22"/>
        </w:rPr>
        <w:t xml:space="preserve"> </w:t>
      </w:r>
      <w:r w:rsidR="003A1FE1">
        <w:rPr>
          <w:sz w:val="22"/>
        </w:rPr>
        <w:t xml:space="preserve">(Neufassung </w:t>
      </w:r>
      <w:r w:rsidR="00C12E3F">
        <w:rPr>
          <w:sz w:val="22"/>
        </w:rPr>
        <w:t>19.4.</w:t>
      </w:r>
      <w:r w:rsidR="003A1FE1">
        <w:rPr>
          <w:sz w:val="22"/>
        </w:rPr>
        <w:t>2012)</w:t>
      </w:r>
    </w:p>
    <w:p w:rsidR="004555DD" w:rsidRDefault="004555DD">
      <w:pPr>
        <w:rPr>
          <w:sz w:val="22"/>
        </w:rPr>
      </w:pPr>
      <w:r>
        <w:rPr>
          <w:sz w:val="22"/>
        </w:rPr>
        <w:t xml:space="preserve">1908 Annexion von Bosnien und Herzegowina (600.000 Muslime) </w:t>
      </w:r>
    </w:p>
    <w:p w:rsidR="004555DD" w:rsidRDefault="004555DD">
      <w:pPr>
        <w:rPr>
          <w:sz w:val="22"/>
        </w:rPr>
      </w:pPr>
      <w:r>
        <w:rPr>
          <w:sz w:val="22"/>
        </w:rPr>
        <w:t>1909 Überlegungen zum Islamgesetz</w:t>
      </w:r>
      <w:r w:rsidR="009D02C6">
        <w:rPr>
          <w:sz w:val="22"/>
        </w:rPr>
        <w:t xml:space="preserve"> (Ministerratsvortrag)</w:t>
      </w:r>
      <w:r w:rsidR="00724712">
        <w:rPr>
          <w:sz w:val="22"/>
        </w:rPr>
        <w:t>, Aktionskomitee</w:t>
      </w:r>
      <w:r w:rsidR="00381A5E">
        <w:rPr>
          <w:sz w:val="22"/>
        </w:rPr>
        <w:t xml:space="preserve"> für Moschee</w:t>
      </w:r>
      <w:r w:rsidR="009D02C6">
        <w:rPr>
          <w:sz w:val="22"/>
        </w:rPr>
        <w:t xml:space="preserve"> </w:t>
      </w:r>
    </w:p>
    <w:p w:rsidR="004555DD" w:rsidRDefault="004555DD">
      <w:pPr>
        <w:rPr>
          <w:sz w:val="22"/>
        </w:rPr>
      </w:pPr>
      <w:r>
        <w:rPr>
          <w:sz w:val="22"/>
        </w:rPr>
        <w:t xml:space="preserve">1912 </w:t>
      </w:r>
      <w:r w:rsidRPr="00724712">
        <w:rPr>
          <w:b/>
          <w:sz w:val="22"/>
        </w:rPr>
        <w:t xml:space="preserve">Islamgesetz </w:t>
      </w:r>
      <w:r w:rsidR="00D47D53">
        <w:rPr>
          <w:sz w:val="22"/>
        </w:rPr>
        <w:t>(hanefitische Rechtsschule, von vier die herrschende bei den Sunniten</w:t>
      </w:r>
      <w:r w:rsidR="00724712">
        <w:rPr>
          <w:sz w:val="22"/>
        </w:rPr>
        <w:t xml:space="preserve">) </w:t>
      </w:r>
    </w:p>
    <w:p w:rsidR="009D02C6" w:rsidRDefault="009D02C6">
      <w:pPr>
        <w:rPr>
          <w:sz w:val="22"/>
        </w:rPr>
      </w:pPr>
      <w:r>
        <w:rPr>
          <w:sz w:val="22"/>
        </w:rPr>
        <w:t>1916 Islamgesetz  in Ungarn</w:t>
      </w:r>
    </w:p>
    <w:p w:rsidR="009D02C6" w:rsidRDefault="00C03A88">
      <w:pPr>
        <w:rPr>
          <w:sz w:val="22"/>
        </w:rPr>
      </w:pPr>
      <w:r>
        <w:rPr>
          <w:sz w:val="22"/>
        </w:rPr>
        <w:t>1939 Ende des “Islamischen Kulturbundes“</w:t>
      </w:r>
    </w:p>
    <w:p w:rsidR="00AF5B6F" w:rsidRPr="00AF5B6F" w:rsidRDefault="00AF5B6F">
      <w:pPr>
        <w:rPr>
          <w:b/>
          <w:sz w:val="22"/>
        </w:rPr>
      </w:pPr>
      <w:r>
        <w:rPr>
          <w:sz w:val="22"/>
        </w:rPr>
        <w:t xml:space="preserve">1961 </w:t>
      </w:r>
      <w:r w:rsidRPr="00AF5B6F">
        <w:rPr>
          <w:b/>
          <w:sz w:val="22"/>
        </w:rPr>
        <w:t>Protestantengesetz neu</w:t>
      </w:r>
      <w:r w:rsidR="00D26379">
        <w:rPr>
          <w:b/>
          <w:sz w:val="22"/>
        </w:rPr>
        <w:t xml:space="preserve"> (</w:t>
      </w:r>
      <w:r w:rsidR="00D26379">
        <w:rPr>
          <w:sz w:val="22"/>
        </w:rPr>
        <w:t>8.4.1961</w:t>
      </w:r>
      <w:r w:rsidR="00D26379">
        <w:rPr>
          <w:sz w:val="22"/>
        </w:rPr>
        <w:t>)</w:t>
      </w:r>
      <w:bookmarkStart w:id="0" w:name="_GoBack"/>
      <w:bookmarkEnd w:id="0"/>
    </w:p>
    <w:p w:rsidR="00C03A88" w:rsidRDefault="00C03A88">
      <w:pPr>
        <w:rPr>
          <w:sz w:val="22"/>
        </w:rPr>
      </w:pPr>
      <w:r>
        <w:rPr>
          <w:sz w:val="22"/>
        </w:rPr>
        <w:t>1963 „Moslemischer Sozialdienst“</w:t>
      </w:r>
    </w:p>
    <w:p w:rsidR="004555DD" w:rsidRPr="00D80DD2" w:rsidRDefault="009D02C6">
      <w:pPr>
        <w:rPr>
          <w:sz w:val="22"/>
        </w:rPr>
      </w:pPr>
      <w:r>
        <w:rPr>
          <w:sz w:val="22"/>
        </w:rPr>
        <w:t>1979</w:t>
      </w:r>
      <w:r w:rsidR="004555DD">
        <w:rPr>
          <w:sz w:val="22"/>
        </w:rPr>
        <w:t xml:space="preserve"> </w:t>
      </w:r>
      <w:r w:rsidR="004555DD" w:rsidRPr="00381A5E">
        <w:rPr>
          <w:b/>
          <w:sz w:val="22"/>
        </w:rPr>
        <w:t>Anerkennung der I</w:t>
      </w:r>
      <w:r w:rsidR="00F72BBD">
        <w:rPr>
          <w:b/>
          <w:sz w:val="22"/>
        </w:rPr>
        <w:t>slamischen Glaubensgemeinschaft</w:t>
      </w:r>
      <w:r w:rsidR="004555DD">
        <w:rPr>
          <w:sz w:val="22"/>
        </w:rPr>
        <w:t xml:space="preserve"> </w:t>
      </w:r>
      <w:r>
        <w:rPr>
          <w:sz w:val="22"/>
        </w:rPr>
        <w:t>(IGGiÖ)</w:t>
      </w:r>
    </w:p>
    <w:p w:rsidR="00D80DD2" w:rsidRDefault="00D47D53">
      <w:pPr>
        <w:rPr>
          <w:sz w:val="22"/>
        </w:rPr>
      </w:pPr>
      <w:r>
        <w:rPr>
          <w:sz w:val="22"/>
        </w:rPr>
        <w:t>1987 VGH erklärt die Einschränkung auf die hanefitische Rechtsschule für unzulässig</w:t>
      </w:r>
    </w:p>
    <w:p w:rsidR="003A1FE1" w:rsidRDefault="003A1FE1">
      <w:pPr>
        <w:rPr>
          <w:sz w:val="22"/>
        </w:rPr>
      </w:pPr>
      <w:r>
        <w:rPr>
          <w:sz w:val="22"/>
        </w:rPr>
        <w:t>2011 „Dialogforum Islam“ regt Novellierung des alten Islamgesetzes an</w:t>
      </w:r>
    </w:p>
    <w:p w:rsidR="00AF5B6F" w:rsidRPr="00AF5B6F" w:rsidRDefault="00AF5B6F">
      <w:pPr>
        <w:rPr>
          <w:b/>
          <w:sz w:val="22"/>
        </w:rPr>
      </w:pPr>
      <w:r>
        <w:rPr>
          <w:sz w:val="22"/>
        </w:rPr>
        <w:t xml:space="preserve">2012 </w:t>
      </w:r>
      <w:r w:rsidRPr="00AF5B6F">
        <w:rPr>
          <w:b/>
          <w:sz w:val="22"/>
        </w:rPr>
        <w:t>Israelitengesetz neu</w:t>
      </w:r>
      <w:r w:rsidR="00D26379">
        <w:rPr>
          <w:b/>
          <w:sz w:val="22"/>
        </w:rPr>
        <w:t xml:space="preserve"> (</w:t>
      </w:r>
      <w:r w:rsidR="00D26379">
        <w:rPr>
          <w:sz w:val="22"/>
        </w:rPr>
        <w:t>19.4.2012</w:t>
      </w:r>
      <w:r w:rsidR="00D26379">
        <w:rPr>
          <w:sz w:val="22"/>
        </w:rPr>
        <w:t>)</w:t>
      </w:r>
    </w:p>
    <w:p w:rsidR="00B1547B" w:rsidRDefault="003A1FE1">
      <w:pPr>
        <w:rPr>
          <w:sz w:val="22"/>
        </w:rPr>
      </w:pPr>
      <w:r>
        <w:rPr>
          <w:sz w:val="22"/>
        </w:rPr>
        <w:t xml:space="preserve">2014 </w:t>
      </w:r>
      <w:r w:rsidR="00B1547B">
        <w:rPr>
          <w:sz w:val="22"/>
        </w:rPr>
        <w:t>Entwurf und Begutachtungsverfahren</w:t>
      </w:r>
      <w:r>
        <w:rPr>
          <w:sz w:val="22"/>
        </w:rPr>
        <w:t xml:space="preserve"> </w:t>
      </w:r>
      <w:r w:rsidR="00B1547B">
        <w:rPr>
          <w:sz w:val="22"/>
        </w:rPr>
        <w:t>zu einem neuen Islamgesetz</w:t>
      </w:r>
      <w:r w:rsidR="00F11519">
        <w:rPr>
          <w:sz w:val="22"/>
        </w:rPr>
        <w:t xml:space="preserve"> (</w:t>
      </w:r>
      <w:r w:rsidR="008759C9">
        <w:rPr>
          <w:sz w:val="22"/>
        </w:rPr>
        <w:t xml:space="preserve">ab </w:t>
      </w:r>
      <w:r w:rsidR="00F11519">
        <w:rPr>
          <w:sz w:val="22"/>
        </w:rPr>
        <w:t>2. Oktober)</w:t>
      </w:r>
    </w:p>
    <w:p w:rsidR="003A1FE1" w:rsidRDefault="00B1547B">
      <w:pPr>
        <w:rPr>
          <w:sz w:val="22"/>
        </w:rPr>
      </w:pPr>
      <w:r>
        <w:rPr>
          <w:sz w:val="22"/>
        </w:rPr>
        <w:t xml:space="preserve">2014 </w:t>
      </w:r>
      <w:r w:rsidR="003A1FE1" w:rsidRPr="008759C9">
        <w:rPr>
          <w:b/>
          <w:sz w:val="22"/>
        </w:rPr>
        <w:t xml:space="preserve">Regierungsvorlage Neues Islamgesetz </w:t>
      </w:r>
      <w:r w:rsidR="00D26379">
        <w:rPr>
          <w:sz w:val="22"/>
        </w:rPr>
        <w:t>(10. 12.2014</w:t>
      </w:r>
      <w:r w:rsidR="00F11519">
        <w:rPr>
          <w:sz w:val="22"/>
        </w:rPr>
        <w:t>)</w:t>
      </w:r>
    </w:p>
    <w:p w:rsidR="003A1FE1" w:rsidRDefault="003A1FE1">
      <w:pPr>
        <w:rPr>
          <w:b/>
          <w:sz w:val="22"/>
        </w:rPr>
      </w:pPr>
      <w:r>
        <w:rPr>
          <w:sz w:val="22"/>
        </w:rPr>
        <w:t xml:space="preserve">2015 </w:t>
      </w:r>
      <w:r w:rsidR="00D26379">
        <w:rPr>
          <w:b/>
          <w:sz w:val="22"/>
        </w:rPr>
        <w:t>Verfassungs-</w:t>
      </w:r>
      <w:r w:rsidR="008759C9" w:rsidRPr="008759C9">
        <w:rPr>
          <w:b/>
          <w:sz w:val="22"/>
        </w:rPr>
        <w:t xml:space="preserve">Ausschuss, Beschluss über </w:t>
      </w:r>
      <w:r w:rsidRPr="008759C9">
        <w:rPr>
          <w:b/>
          <w:sz w:val="22"/>
        </w:rPr>
        <w:t>Neues Islamgesetz</w:t>
      </w:r>
      <w:r w:rsidR="00B1547B" w:rsidRPr="008759C9">
        <w:rPr>
          <w:b/>
          <w:sz w:val="22"/>
        </w:rPr>
        <w:t xml:space="preserve"> </w:t>
      </w:r>
    </w:p>
    <w:p w:rsidR="00531452" w:rsidRPr="008759C9" w:rsidRDefault="008759C9">
      <w:pPr>
        <w:rPr>
          <w:b/>
          <w:sz w:val="22"/>
        </w:rPr>
      </w:pPr>
      <w:r w:rsidRPr="008759C9">
        <w:rPr>
          <w:sz w:val="22"/>
        </w:rPr>
        <w:t>2016</w:t>
      </w:r>
      <w:r>
        <w:rPr>
          <w:sz w:val="22"/>
        </w:rPr>
        <w:t xml:space="preserve"> Keine laufende Finanzierung der Imame </w:t>
      </w:r>
      <w:r w:rsidR="00D26379">
        <w:rPr>
          <w:sz w:val="22"/>
        </w:rPr>
        <w:t>mehr, aber Spenden erlaubt.</w:t>
      </w:r>
    </w:p>
    <w:sectPr w:rsidR="00531452" w:rsidRPr="00875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2"/>
    <w:rsid w:val="001F684F"/>
    <w:rsid w:val="002327D3"/>
    <w:rsid w:val="0023582F"/>
    <w:rsid w:val="003358C1"/>
    <w:rsid w:val="00381A5E"/>
    <w:rsid w:val="003A1FE1"/>
    <w:rsid w:val="004555DD"/>
    <w:rsid w:val="005248DA"/>
    <w:rsid w:val="00531452"/>
    <w:rsid w:val="0056720E"/>
    <w:rsid w:val="00651D30"/>
    <w:rsid w:val="00724712"/>
    <w:rsid w:val="007F059F"/>
    <w:rsid w:val="008759C9"/>
    <w:rsid w:val="008C071D"/>
    <w:rsid w:val="00920FA5"/>
    <w:rsid w:val="009979DF"/>
    <w:rsid w:val="009D02C6"/>
    <w:rsid w:val="00A9266C"/>
    <w:rsid w:val="00AF5B6F"/>
    <w:rsid w:val="00B1547B"/>
    <w:rsid w:val="00B852F6"/>
    <w:rsid w:val="00C03A88"/>
    <w:rsid w:val="00C12E3F"/>
    <w:rsid w:val="00D26379"/>
    <w:rsid w:val="00D47D53"/>
    <w:rsid w:val="00D80DD2"/>
    <w:rsid w:val="00EE24DD"/>
    <w:rsid w:val="00F11519"/>
    <w:rsid w:val="00F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C09A-963E-4179-8C21-E9BB953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6720E"/>
  </w:style>
  <w:style w:type="character" w:styleId="Hyperlink">
    <w:name w:val="Hyperlink"/>
    <w:basedOn w:val="Absatz-Standardschriftart"/>
    <w:uiPriority w:val="99"/>
    <w:semiHidden/>
    <w:unhideWhenUsed/>
    <w:rsid w:val="00567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Diem</dc:creator>
  <cp:keywords/>
  <dc:description/>
  <cp:lastModifiedBy>Peter Diem</cp:lastModifiedBy>
  <cp:revision>7</cp:revision>
  <dcterms:created xsi:type="dcterms:W3CDTF">2014-12-14T18:05:00Z</dcterms:created>
  <dcterms:modified xsi:type="dcterms:W3CDTF">2014-12-15T10:59:00Z</dcterms:modified>
</cp:coreProperties>
</file>